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1">
      <w:pPr>
        <w:pStyle w:val="Heading1"/>
        <w:spacing w:line="396" w:before="241" w:after="241"/>
        <w:jc w:val="center"/>
      </w:pPr>
      <w:r>
        <w:rPr>
          <w:sz w:val="36"/>
        </w:rPr>
        <w:t>ATTACHMENT 3: FOLLOW -ON DISCLOSURE</w:t>
      </w:r>
    </w:p>
    <w:p w14:paraId="00000002">
      <w:pPr>
        <w:spacing w:line="360"/>
      </w:pPr>
    </w:p>
    <w:p w14:paraId="00000003">
      <w:pPr>
        <w:pStyle w:val="Heading2"/>
        <w:spacing w:line="317" w:before="239" w:after="239"/>
      </w:pPr>
      <w:bookmarkStart w:name="section-721798" w:id="0"/>
      <w:r>
        <w:rPr>
          <w:sz w:val="29"/>
        </w:rPr>
        <w:t>1. BACKGROUND INFORMATION</w:t>
      </w:r>
      <w:bookmarkEnd w:id="0"/>
    </w:p>
    <w:p w14:paraId="00000004">
      <w:pPr>
        <w:spacing w:line="360"/>
      </w:pPr>
      <w:r>
        <w:t>PCC Section 10365.5 generally prohibits a person, firm, or subsidiary thereof that has been awarded a consulting services contract from submitting a bid for and/or being awarded an agreement for, the provision of services, procurement of goods or supplies, or any other related action that is required, suggested, or otherwise deemed appropriate in the end product of a consulting services contract.</w:t>
      </w:r>
    </w:p>
    <w:p w14:paraId="00000005">
      <w:pPr>
        <w:spacing w:line="360"/>
      </w:pPr>
      <w:r>
        <w:t>PCC Section 10365.5 does not apply to any person, firm, or subsidiary thereof that is awarded a subcontract of a consulting services agreement that totals no more than 10 percent of the total monetary value of the consulting services agreement.</w:t>
      </w:r>
    </w:p>
    <w:p w14:paraId="00000006">
      <w:pPr>
        <w:spacing w:line="360"/>
      </w:pPr>
      <w:r>
        <w:t>Consultants/employees of a firm that provides consulting advice under an original consulting contract are not prohibited from providing services as employees of another firm on a follow-on contract, unless the persons are named contracting parties or named parties in a subcontract of the original contract.</w:t>
      </w:r>
    </w:p>
    <w:p w14:paraId="00000007">
      <w:pPr>
        <w:spacing w:line="360"/>
      </w:pPr>
      <w:r>
        <w:t>PCC Section 10365.5 does not distinguish between intentional, negligent, and/or inadvertent violations. A violation could result in disqualification from bidding, a void contract, and/or imposition of criminal penalties.</w:t>
      </w:r>
    </w:p>
    <w:p w14:paraId="00000008">
      <w:pPr>
        <w:spacing w:line="360"/>
      </w:pPr>
    </w:p>
    <w:p w14:paraId="00000009">
      <w:pPr>
        <w:pStyle w:val="Heading2"/>
        <w:spacing w:line="317" w:before="239" w:after="239"/>
      </w:pPr>
      <w:bookmarkStart w:name="section-721799" w:id="1"/>
      <w:r>
        <w:rPr>
          <w:sz w:val="29"/>
        </w:rPr>
        <w:t>2. CONTRACT DISCLOSURE</w:t>
      </w:r>
      <w:bookmarkEnd w:id="1"/>
    </w:p>
    <w:tbl>
      <w:tblPr>
        <w:tblStyle w:val="TableBasic"/>
        <w:tblW w:type="dxa" w:w="10800"/>
      </w:tblPr>
      <w:tr>
        <w:trPr>
          <w:tblHeader w:val="true"/>
        </w:trPr>
        <w:tc>
          <w:tcPr>
            <w:tcW w:type="dxa" w:w="865"/>
            <w:tcBorders>
              <w:top w:sz="6" w:val="single" w:color="BFBFBF"/>
              <w:left w:sz="6" w:val="single" w:color="BFBFBF"/>
              <w:bottom w:sz="6" w:val="single" w:color="BFBFBF"/>
              <w:right w:sz="6" w:val="single" w:color="BFBFBF"/>
            </w:tcBorders>
            <w:shd w:val="clear" w:fill="F2F2F2"/>
            <w:vAlign w:val="center"/>
            <w:tcMar>
              <w:top w:type="dxa" w:w="96"/>
              <w:left w:type="dxa" w:w="96"/>
              <w:bottom w:type="dxa" w:w="96"/>
              <w:right w:type="dxa" w:w="96"/>
            </w:tcMar>
          </w:tcPr>
          <w:p w14:paraId="0000000B">
            <w:pPr>
              <w:spacing w:line="360" w:before="0" w:after="0"/>
              <w:jc w:val="center"/>
            </w:pPr>
            <w:r>
              <w:rPr>
                <w:b w:val="1"/>
              </w:rPr>
              <w:t>Check which applies</w:t>
            </w:r>
          </w:p>
        </w:tc>
        <w:tc>
          <w:tcPr>
            <w:tcW w:type="dxa" w:w="9507"/>
            <w:tcBorders>
              <w:top w:sz="6" w:val="single" w:color="BFBFBF"/>
              <w:bottom w:sz="6" w:val="single" w:color="BFBFBF"/>
              <w:right w:sz="6" w:val="single" w:color="BFBFBF"/>
            </w:tcBorders>
            <w:shd w:val="clear" w:fill="F2F2F2"/>
            <w:vAlign w:val="center"/>
            <w:tcMar>
              <w:top w:type="dxa" w:w="96"/>
              <w:left w:type="dxa" w:w="96"/>
              <w:bottom w:type="dxa" w:w="96"/>
              <w:right w:type="dxa" w:w="96"/>
            </w:tcMar>
          </w:tcPr>
          <w:p w14:paraId="0000000C"/>
        </w:tc>
      </w:tr>
      <w:tr>
        <w:tc>
          <w:tcPr>
            <w:tcW w:type="dxa" w:w="865"/>
            <w:tcBorders>
              <w:left w:sz="6" w:val="single" w:color="BFBFBF"/>
              <w:bottom w:sz="6" w:val="single" w:color="BFBFBF"/>
              <w:right w:sz="6" w:val="single" w:color="BFBFBF"/>
            </w:tcBorders>
            <w:vAlign w:val="center"/>
            <w:tcMar>
              <w:top w:type="dxa" w:w="96"/>
              <w:left w:type="dxa" w:w="96"/>
              <w:bottom w:type="dxa" w:w="96"/>
              <w:right w:type="dxa" w:w="96"/>
            </w:tcMar>
          </w:tcPr>
          <w:p w14:paraId="0000000D"/>
        </w:tc>
        <w:tc>
          <w:tcPr>
            <w:tcW w:type="dxa" w:w="9507"/>
            <w:tcBorders>
              <w:bottom w:sz="6" w:val="single" w:color="BFBFBF"/>
              <w:right w:sz="6" w:val="single" w:color="BFBFBF"/>
            </w:tcBorders>
            <w:vAlign w:val="center"/>
            <w:tcMar>
              <w:top w:type="dxa" w:w="96"/>
              <w:left w:type="dxa" w:w="96"/>
              <w:bottom w:type="dxa" w:w="96"/>
              <w:right w:type="dxa" w:w="96"/>
            </w:tcMar>
          </w:tcPr>
          <w:p w14:paraId="0000000E">
            <w:pPr>
              <w:spacing w:line="360"/>
            </w:pPr>
            <w:r>
              <w:t>I hereby certify that neither my firm nor any subcontractor that my firm intends to use under the contract resulting from this procurement, is currently providing consulting services to the state under a state contract (or as a subcontractor providing more than 10 percent of dollar value of a consulting service contract with the state) or has provided such services within five (5) years prior to the release of this solicitation that are related in any manner to the services, goods, or supplies being acquired pursuant to this solicitation.</w:t>
            </w:r>
          </w:p>
          <w:p w14:paraId="0000000F">
            <w:pPr>
              <w:spacing w:line="360"/>
            </w:pPr>
            <w:r>
              <w:rPr>
                <w:b w:val="1"/>
              </w:rPr>
              <w:t>Bidder must sign below.</w:t>
            </w:r>
            <w:r>
              <w:t xml:space="preserve"> This option is likely to apply to bidding firms that do not currently and/or never have provided consultant services to the state.</w:t>
            </w:r>
          </w:p>
        </w:tc>
      </w:tr>
      <w:tr>
        <w:tc>
          <w:tcPr>
            <w:tcW w:type="dxa" w:w="865"/>
            <w:tcBorders>
              <w:left w:sz="6" w:val="single" w:color="BFBFBF"/>
              <w:bottom w:sz="6" w:val="single" w:color="BFBFBF"/>
              <w:right w:sz="6" w:val="single" w:color="BFBFBF"/>
            </w:tcBorders>
            <w:vAlign w:val="center"/>
            <w:tcMar>
              <w:top w:type="dxa" w:w="96"/>
              <w:left w:type="dxa" w:w="96"/>
              <w:bottom w:type="dxa" w:w="96"/>
              <w:right w:type="dxa" w:w="96"/>
            </w:tcMar>
          </w:tcPr>
          <w:p w14:paraId="00000010"/>
        </w:tc>
        <w:tc>
          <w:tcPr>
            <w:tcW w:type="dxa" w:w="9507"/>
            <w:tcBorders>
              <w:bottom w:sz="6" w:val="single" w:color="BFBFBF"/>
              <w:right w:sz="6" w:val="single" w:color="BFBFBF"/>
            </w:tcBorders>
            <w:vAlign w:val="center"/>
            <w:tcMar>
              <w:top w:type="dxa" w:w="96"/>
              <w:left w:type="dxa" w:w="96"/>
              <w:bottom w:type="dxa" w:w="96"/>
              <w:right w:type="dxa" w:w="96"/>
            </w:tcMar>
          </w:tcPr>
          <w:p w14:paraId="00000011">
            <w:pPr>
              <w:spacing w:line="360"/>
            </w:pPr>
            <w:r>
              <w:t xml:space="preserve">Attached is a disclosure of current and/or prior consulting services provided by my firm or a proposed subcontractor to the state under a state contract within five (5) years prior to the release of this solicitation that may be related in some manner to the services, goods, or supplies being acquired pursuant to this solicitation. In addition, provide a detailed explanation why your firm is not prohibited from bidding under PCC Section 10365.5. Please also refer to the Department of General Services’ Management Memo 07-04 for additional information regarding the follow-on contracting prohibition, which is located at </w:t>
            </w:r>
            <w:hyperlink r:id="rId3">
              <w:r>
                <w:rPr>
                  <w:rStyle w:val="Hyperlink"/>
                </w:rPr>
                <w:t>https://www.dgs.ca.gov/-/media/Divisions/OTPFS/Memos/MM07_04.pdf?la=en&amp;hash=A22679E0773EAE644A8B0DE8AFCD9C1F9C058B57</w:t>
              </w:r>
            </w:hyperlink>
          </w:p>
          <w:p w14:paraId="00000012">
            <w:pPr>
              <w:spacing w:line="360"/>
            </w:pPr>
            <w:r>
              <w:rPr>
                <w:b w:val="1"/>
              </w:rPr>
              <w:t>Bidder must sign below and attach a detailed disclosure.</w:t>
            </w:r>
          </w:p>
        </w:tc>
      </w:tr>
    </w:tbl>
    <w:p w14:paraId="0000000A">
      <w:pPr>
        <w:pStyle w:val="NoSpacing"/>
      </w:pPr>
    </w:p>
    <w:tbl>
      <w:tblPr>
        <w:tblStyle w:val="TableBasic"/>
        <w:tblW w:type="dxa" w:w="10800"/>
      </w:tblPr>
      <w:tr>
        <w:trPr>
          <w:tblHeader w:val="true"/>
        </w:trPr>
        <w:tc>
          <w:tcPr>
            <w:tcW w:type="dxa" w:w="10578"/>
            <w:gridSpan w:val="2"/>
            <w:tcBorders>
              <w:top w:sz="6" w:val="single" w:color="BFBFBF"/>
              <w:left w:sz="6" w:val="single" w:color="BFBFBF"/>
              <w:bottom w:sz="6" w:val="single" w:color="BFBFBF"/>
              <w:right w:sz="6" w:val="single" w:color="BFBFBF"/>
            </w:tcBorders>
            <w:shd w:val="clear" w:fill="F2F2F2"/>
            <w:vAlign w:val="center"/>
            <w:tcMar>
              <w:top w:type="dxa" w:w="96"/>
              <w:left w:type="dxa" w:w="96"/>
              <w:bottom w:type="dxa" w:w="96"/>
              <w:right w:type="dxa" w:w="96"/>
            </w:tcMar>
          </w:tcPr>
          <w:p w14:paraId="00000013">
            <w:pPr>
              <w:spacing w:line="360" w:before="0" w:after="0"/>
            </w:pPr>
            <w:r>
              <w:rPr>
                <w:b w:val="1"/>
              </w:rPr>
              <w:t>Signature block</w:t>
            </w:r>
          </w:p>
        </w:tc>
      </w:tr>
      <w:tr>
        <w:tc>
          <w:tcPr>
            <w:tcW w:type="dxa" w:w="10578"/>
            <w:gridSpan w:val="2"/>
            <w:tcBorders>
              <w:left w:sz="6" w:val="single" w:color="BFBFBF"/>
              <w:bottom w:sz="6" w:val="single" w:color="BFBFBF"/>
              <w:right w:sz="6" w:val="single" w:color="BFBFBF"/>
            </w:tcBorders>
            <w:vAlign w:val="center"/>
            <w:tcMar>
              <w:top w:type="dxa" w:w="96"/>
              <w:left w:type="dxa" w:w="96"/>
              <w:bottom w:type="dxa" w:w="96"/>
              <w:right w:type="dxa" w:w="96"/>
            </w:tcMar>
          </w:tcPr>
          <w:p w14:paraId="00000014">
            <w:pPr>
              <w:spacing w:line="360" w:before="0" w:after="0"/>
            </w:pPr>
            <w:r>
              <w:t>Name of Firm:</w:t>
            </w:r>
          </w:p>
        </w:tc>
      </w:tr>
      <w:tr>
        <w:tc>
          <w:tcPr>
            <w:tcW w:type="dxa" w:w="5186"/>
            <w:tcBorders>
              <w:left w:sz="6" w:val="single" w:color="BFBFBF"/>
              <w:bottom w:sz="6" w:val="single" w:color="BFBFBF"/>
              <w:right w:sz="6" w:val="single" w:color="BFBFBF"/>
            </w:tcBorders>
            <w:vAlign w:val="center"/>
            <w:tcMar>
              <w:top w:type="dxa" w:w="96"/>
              <w:left w:type="dxa" w:w="96"/>
              <w:bottom w:type="dxa" w:w="96"/>
              <w:right w:type="dxa" w:w="96"/>
            </w:tcMar>
          </w:tcPr>
          <w:p w14:paraId="00000015">
            <w:pPr>
              <w:spacing w:line="360"/>
            </w:pPr>
            <w:r>
              <w:t>Signature</w:t>
            </w:r>
          </w:p>
          <w:p w14:paraId="00000016">
            <w:pPr>
              <w:spacing w:line="360"/>
            </w:pPr>
          </w:p>
        </w:tc>
        <w:tc>
          <w:tcPr>
            <w:tcW w:type="dxa" w:w="5186"/>
            <w:tcBorders>
              <w:bottom w:sz="6" w:val="single" w:color="BFBFBF"/>
              <w:right w:sz="6" w:val="single" w:color="BFBFBF"/>
            </w:tcBorders>
            <w:vAlign w:val="center"/>
            <w:tcMar>
              <w:top w:type="dxa" w:w="96"/>
              <w:left w:type="dxa" w:w="96"/>
              <w:bottom w:type="dxa" w:w="96"/>
              <w:right w:type="dxa" w:w="96"/>
            </w:tcMar>
          </w:tcPr>
          <w:p w14:paraId="00000017">
            <w:pPr>
              <w:spacing w:line="360"/>
            </w:pPr>
            <w:r>
              <w:t>Date Signed</w:t>
            </w:r>
          </w:p>
          <w:p w14:paraId="00000018">
            <w:pPr>
              <w:spacing w:line="360"/>
            </w:pPr>
          </w:p>
        </w:tc>
      </w:tr>
      <w:tr>
        <w:tc>
          <w:tcPr>
            <w:tcW w:type="dxa" w:w="5186"/>
            <w:tcBorders>
              <w:left w:sz="6" w:val="single" w:color="BFBFBF"/>
              <w:bottom w:sz="6" w:val="single" w:color="BFBFBF"/>
              <w:right w:sz="6" w:val="single" w:color="BFBFBF"/>
            </w:tcBorders>
            <w:vAlign w:val="center"/>
            <w:tcMar>
              <w:top w:type="dxa" w:w="96"/>
              <w:left w:type="dxa" w:w="96"/>
              <w:bottom w:type="dxa" w:w="96"/>
              <w:right w:type="dxa" w:w="96"/>
            </w:tcMar>
          </w:tcPr>
          <w:p w14:paraId="00000019">
            <w:pPr>
              <w:spacing w:line="360"/>
            </w:pPr>
            <w:r>
              <w:t>Printed/Typed Name</w:t>
            </w:r>
          </w:p>
          <w:p w14:paraId="0000001A">
            <w:pPr>
              <w:spacing w:line="360"/>
            </w:pPr>
          </w:p>
        </w:tc>
        <w:tc>
          <w:tcPr>
            <w:tcW w:type="dxa" w:w="5186"/>
            <w:tcBorders>
              <w:bottom w:sz="6" w:val="single" w:color="BFBFBF"/>
              <w:right w:sz="6" w:val="single" w:color="BFBFBF"/>
            </w:tcBorders>
            <w:vAlign w:val="center"/>
            <w:tcMar>
              <w:top w:type="dxa" w:w="96"/>
              <w:left w:type="dxa" w:w="96"/>
              <w:bottom w:type="dxa" w:w="96"/>
              <w:right w:type="dxa" w:w="96"/>
            </w:tcMar>
          </w:tcPr>
          <w:p w14:paraId="0000001B">
            <w:pPr>
              <w:spacing w:line="360"/>
            </w:pPr>
            <w:r>
              <w:t>Title</w:t>
            </w:r>
          </w:p>
          <w:p w14:paraId="0000001C">
            <w:pPr>
              <w:spacing w:line="360"/>
            </w:pPr>
          </w:p>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hyperlink" Target="https://www.dgs.ca.gov/-/media/Divisions/OTPFS/Memos/MM07_04.pdf?la=en&amp;hash=A22679E0773EAE644A8B0DE8AFCD9C1F9C058B57" TargetMode="External" /><Relationship Id="rId4" Type="http://schemas.openxmlformats.org/officeDocument/2006/relationships/styles" Target="/word/styles.xml" /><Relationship Id="rId5"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